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484D" w14:textId="77777777" w:rsidR="006123C5" w:rsidRDefault="006123C5" w:rsidP="00C41912">
      <w:pPr>
        <w:jc w:val="center"/>
        <w:rPr>
          <w:rFonts w:ascii="Arial" w:hAnsi="Arial" w:cs="Arial"/>
          <w:b/>
          <w:bCs/>
        </w:rPr>
      </w:pPr>
    </w:p>
    <w:p w14:paraId="3FD3D773" w14:textId="77777777" w:rsidR="006123C5" w:rsidRDefault="006123C5" w:rsidP="00C41912">
      <w:pPr>
        <w:jc w:val="center"/>
        <w:rPr>
          <w:rFonts w:ascii="Arial" w:hAnsi="Arial" w:cs="Arial"/>
          <w:b/>
          <w:bCs/>
        </w:rPr>
      </w:pPr>
    </w:p>
    <w:p w14:paraId="55A2A3F1" w14:textId="647D8E95" w:rsidR="00C41912" w:rsidRPr="00A67321" w:rsidRDefault="00C41912" w:rsidP="00C41912">
      <w:pPr>
        <w:jc w:val="center"/>
        <w:rPr>
          <w:rFonts w:ascii="Arial" w:hAnsi="Arial" w:cs="Arial"/>
          <w:b/>
          <w:bCs/>
        </w:rPr>
      </w:pPr>
      <w:r w:rsidRPr="00A67321">
        <w:rPr>
          <w:rFonts w:ascii="Arial" w:hAnsi="Arial" w:cs="Arial"/>
          <w:b/>
          <w:bCs/>
        </w:rPr>
        <w:t>IG Group Holdings plc</w:t>
      </w:r>
    </w:p>
    <w:p w14:paraId="2E954D1C" w14:textId="283E652B" w:rsidR="00C41912" w:rsidRPr="00C41912" w:rsidRDefault="00C41912" w:rsidP="00AC1E29">
      <w:pPr>
        <w:jc w:val="center"/>
        <w:rPr>
          <w:rFonts w:ascii="Arial" w:hAnsi="Arial" w:cs="Arial"/>
        </w:rPr>
      </w:pPr>
      <w:r w:rsidRPr="00C41912">
        <w:rPr>
          <w:rFonts w:ascii="Arial" w:hAnsi="Arial" w:cs="Arial"/>
        </w:rPr>
        <w:t>(the</w:t>
      </w:r>
      <w:r>
        <w:rPr>
          <w:rFonts w:ascii="Arial" w:hAnsi="Arial" w:cs="Arial"/>
        </w:rPr>
        <w:t xml:space="preserve"> “IGGH</w:t>
      </w:r>
      <w:r w:rsidR="00D23AAD">
        <w:rPr>
          <w:rFonts w:ascii="Arial" w:hAnsi="Arial" w:cs="Arial"/>
        </w:rPr>
        <w:t>”, “IG”</w:t>
      </w:r>
      <w:r>
        <w:rPr>
          <w:rFonts w:ascii="Arial" w:hAnsi="Arial" w:cs="Arial"/>
        </w:rPr>
        <w:t xml:space="preserve"> or the</w:t>
      </w:r>
      <w:r w:rsidRPr="00C41912">
        <w:rPr>
          <w:rFonts w:ascii="Arial" w:hAnsi="Arial" w:cs="Arial"/>
        </w:rPr>
        <w:t xml:space="preserve"> “Company”)</w:t>
      </w:r>
    </w:p>
    <w:p w14:paraId="1F5ACB14" w14:textId="77777777" w:rsidR="00046330" w:rsidRDefault="00046330" w:rsidP="00FB6C4D">
      <w:pPr>
        <w:jc w:val="center"/>
        <w:rPr>
          <w:rFonts w:ascii="Arial" w:hAnsi="Arial" w:cs="Arial"/>
          <w:b/>
          <w:bCs/>
        </w:rPr>
      </w:pPr>
    </w:p>
    <w:p w14:paraId="38AB7E4F" w14:textId="4FE9150F" w:rsidR="00FB6C4D" w:rsidRDefault="00C41912" w:rsidP="00FB6C4D">
      <w:pPr>
        <w:jc w:val="center"/>
        <w:rPr>
          <w:rFonts w:ascii="Arial" w:hAnsi="Arial" w:cs="Arial"/>
          <w:b/>
          <w:bCs/>
        </w:rPr>
      </w:pPr>
      <w:r w:rsidRPr="0794F285">
        <w:rPr>
          <w:rFonts w:ascii="Arial" w:hAnsi="Arial" w:cs="Arial"/>
          <w:b/>
          <w:bCs/>
        </w:rPr>
        <w:t xml:space="preserve">THE ROLE OF THE </w:t>
      </w:r>
      <w:r w:rsidR="00E937EC" w:rsidRPr="0794F285">
        <w:rPr>
          <w:rFonts w:ascii="Arial" w:hAnsi="Arial" w:cs="Arial"/>
          <w:b/>
          <w:bCs/>
        </w:rPr>
        <w:t>CHIEF EXECUTIVE</w:t>
      </w:r>
    </w:p>
    <w:p w14:paraId="60B40CDB" w14:textId="7C1AD33F" w:rsidR="004A517F" w:rsidRDefault="00FB6C4D" w:rsidP="00B1318D">
      <w:pPr>
        <w:jc w:val="both"/>
        <w:rPr>
          <w:rFonts w:ascii="Arial" w:hAnsi="Arial" w:cs="Arial"/>
        </w:rPr>
      </w:pPr>
      <w:r w:rsidRPr="00FB6C4D">
        <w:rPr>
          <w:rFonts w:ascii="Arial" w:hAnsi="Arial" w:cs="Arial"/>
        </w:rPr>
        <w:t xml:space="preserve">The </w:t>
      </w:r>
      <w:r w:rsidR="00B1318D">
        <w:rPr>
          <w:rFonts w:ascii="Arial" w:hAnsi="Arial" w:cs="Arial"/>
        </w:rPr>
        <w:t>Group Chief Executive Officer</w:t>
      </w:r>
      <w:r w:rsidR="004A517F">
        <w:rPr>
          <w:rFonts w:ascii="Arial" w:hAnsi="Arial" w:cs="Arial"/>
        </w:rPr>
        <w:t xml:space="preserve"> (the “</w:t>
      </w:r>
      <w:r w:rsidR="00B1318D">
        <w:rPr>
          <w:rFonts w:ascii="Arial" w:hAnsi="Arial" w:cs="Arial"/>
        </w:rPr>
        <w:t>CEO</w:t>
      </w:r>
      <w:r w:rsidR="004A517F">
        <w:rPr>
          <w:rFonts w:ascii="Arial" w:hAnsi="Arial" w:cs="Arial"/>
        </w:rPr>
        <w:t>”)</w:t>
      </w:r>
      <w:r w:rsidRPr="00FB6C4D">
        <w:rPr>
          <w:rFonts w:ascii="Arial" w:hAnsi="Arial" w:cs="Arial"/>
        </w:rPr>
        <w:t xml:space="preserve"> </w:t>
      </w:r>
      <w:r w:rsidR="00B1318D" w:rsidRPr="00B1318D">
        <w:rPr>
          <w:rFonts w:ascii="Arial" w:hAnsi="Arial" w:cs="Arial"/>
        </w:rPr>
        <w:t xml:space="preserve">is appointed by the Board and is accountable to the Chair </w:t>
      </w:r>
      <w:r w:rsidR="00B1318D">
        <w:rPr>
          <w:rFonts w:ascii="Arial" w:hAnsi="Arial" w:cs="Arial"/>
        </w:rPr>
        <w:t xml:space="preserve">of the Board (the “Chair) </w:t>
      </w:r>
      <w:r w:rsidR="00B1318D" w:rsidRPr="00B1318D">
        <w:rPr>
          <w:rFonts w:ascii="Arial" w:hAnsi="Arial" w:cs="Arial"/>
        </w:rPr>
        <w:t>and the Board.</w:t>
      </w:r>
      <w:r w:rsidR="00B1318D">
        <w:rPr>
          <w:rFonts w:ascii="Arial" w:hAnsi="Arial" w:cs="Arial"/>
        </w:rPr>
        <w:t xml:space="preserve"> The CEO is </w:t>
      </w:r>
      <w:r w:rsidR="00B1318D" w:rsidRPr="00B1318D">
        <w:rPr>
          <w:rFonts w:ascii="Arial" w:hAnsi="Arial" w:cs="Arial"/>
        </w:rPr>
        <w:t>responsible</w:t>
      </w:r>
      <w:r w:rsidR="00B1318D">
        <w:rPr>
          <w:rFonts w:ascii="Arial" w:hAnsi="Arial" w:cs="Arial"/>
        </w:rPr>
        <w:t xml:space="preserve"> </w:t>
      </w:r>
      <w:r w:rsidR="00B1318D" w:rsidRPr="00B1318D">
        <w:rPr>
          <w:rFonts w:ascii="Arial" w:hAnsi="Arial" w:cs="Arial"/>
        </w:rPr>
        <w:t>for running the Group’s business.</w:t>
      </w:r>
    </w:p>
    <w:p w14:paraId="49872B65" w14:textId="23D7F040" w:rsidR="004A517F" w:rsidRPr="00A65FD9" w:rsidRDefault="00A65FD9" w:rsidP="004A517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Principle</w:t>
      </w:r>
      <w:r w:rsidR="004A517F" w:rsidRPr="00A65FD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Responsibilities</w:t>
      </w:r>
    </w:p>
    <w:p w14:paraId="088B6991" w14:textId="703D1DF0" w:rsidR="00B1318D" w:rsidRDefault="00B1318D" w:rsidP="0065476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B1318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CEO’s</w:t>
      </w:r>
      <w:r w:rsidRPr="00B1318D">
        <w:rPr>
          <w:rFonts w:ascii="Arial" w:hAnsi="Arial" w:cs="Arial"/>
        </w:rPr>
        <w:t xml:space="preserve"> principal responsibility is the day-to-day decision making relating to and </w:t>
      </w:r>
      <w:r w:rsidR="001C76CA">
        <w:rPr>
          <w:rFonts w:ascii="Arial" w:hAnsi="Arial" w:cs="Arial"/>
        </w:rPr>
        <w:t>M</w:t>
      </w:r>
      <w:r w:rsidRPr="00B1318D">
        <w:rPr>
          <w:rFonts w:ascii="Arial" w:hAnsi="Arial" w:cs="Arial"/>
        </w:rPr>
        <w:t>anagement of the affairs of the Group, for delivering financial performance in line with the</w:t>
      </w:r>
      <w:r w:rsidR="00B9141C">
        <w:rPr>
          <w:rFonts w:ascii="Arial" w:hAnsi="Arial" w:cs="Arial"/>
        </w:rPr>
        <w:t xml:space="preserve"> </w:t>
      </w:r>
      <w:r w:rsidRPr="00B1318D">
        <w:rPr>
          <w:rFonts w:ascii="Arial" w:hAnsi="Arial" w:cs="Arial"/>
        </w:rPr>
        <w:t>Group’s agreed budget and for organisational design of the Group’s operations.</w:t>
      </w:r>
    </w:p>
    <w:p w14:paraId="190D676D" w14:textId="5A170184" w:rsidR="00B1318D" w:rsidRDefault="00B1318D" w:rsidP="004A517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B1318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CEO</w:t>
      </w:r>
      <w:r w:rsidRPr="00B1318D">
        <w:rPr>
          <w:rFonts w:ascii="Arial" w:hAnsi="Arial" w:cs="Arial"/>
        </w:rPr>
        <w:t xml:space="preserve"> is responsible for developing and executing the Company's strategy and overall commercial objectives for consideration by the Board.</w:t>
      </w:r>
    </w:p>
    <w:p w14:paraId="121226B1" w14:textId="2935C720" w:rsidR="00B1318D" w:rsidRPr="00B1318D" w:rsidRDefault="00B1318D" w:rsidP="004A517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CEO is responsible for the r</w:t>
      </w:r>
      <w:r w:rsidRPr="00B1318D">
        <w:rPr>
          <w:rFonts w:ascii="Arial" w:hAnsi="Arial" w:cs="Arial"/>
        </w:rPr>
        <w:t xml:space="preserve">ecruitment, leadership and development of the Group’s </w:t>
      </w:r>
      <w:r w:rsidR="001C76CA">
        <w:rPr>
          <w:rFonts w:ascii="Arial" w:hAnsi="Arial" w:cs="Arial"/>
        </w:rPr>
        <w:t>E</w:t>
      </w:r>
      <w:r w:rsidRPr="00B1318D">
        <w:rPr>
          <w:rFonts w:ascii="Arial" w:hAnsi="Arial" w:cs="Arial"/>
        </w:rPr>
        <w:t xml:space="preserve">xecutive </w:t>
      </w:r>
      <w:r w:rsidR="001C76CA">
        <w:rPr>
          <w:rFonts w:ascii="Arial" w:hAnsi="Arial" w:cs="Arial"/>
        </w:rPr>
        <w:t>M</w:t>
      </w:r>
      <w:r w:rsidRPr="00B1318D">
        <w:rPr>
          <w:rFonts w:ascii="Arial" w:hAnsi="Arial" w:cs="Arial"/>
        </w:rPr>
        <w:t xml:space="preserve">anagement team below Board level and provision of information and advice on </w:t>
      </w:r>
      <w:r w:rsidR="001C76CA">
        <w:rPr>
          <w:rFonts w:ascii="Arial" w:hAnsi="Arial" w:cs="Arial"/>
        </w:rPr>
        <w:t>E</w:t>
      </w:r>
      <w:r w:rsidRPr="00B1318D">
        <w:rPr>
          <w:rFonts w:ascii="Arial" w:hAnsi="Arial" w:cs="Arial"/>
        </w:rPr>
        <w:t xml:space="preserve">xecutive </w:t>
      </w:r>
      <w:r w:rsidR="001C76CA">
        <w:rPr>
          <w:rFonts w:ascii="Arial" w:hAnsi="Arial" w:cs="Arial"/>
        </w:rPr>
        <w:t>M</w:t>
      </w:r>
      <w:r w:rsidRPr="00B1318D">
        <w:rPr>
          <w:rFonts w:ascii="Arial" w:hAnsi="Arial" w:cs="Arial"/>
        </w:rPr>
        <w:t>anagement succession planning to the Board.</w:t>
      </w:r>
    </w:p>
    <w:p w14:paraId="4B220467" w14:textId="58AA7CDF" w:rsidR="004A517F" w:rsidRDefault="0060339F" w:rsidP="004A517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Other</w:t>
      </w:r>
      <w:r w:rsidR="004A517F" w:rsidRPr="00A65FD9">
        <w:rPr>
          <w:rFonts w:ascii="Arial" w:hAnsi="Arial" w:cs="Arial"/>
          <w:b/>
          <w:bCs/>
        </w:rPr>
        <w:t xml:space="preserve"> </w:t>
      </w:r>
      <w:r w:rsidR="00A65FD9">
        <w:rPr>
          <w:rFonts w:ascii="Arial" w:hAnsi="Arial" w:cs="Arial"/>
          <w:b/>
          <w:bCs/>
        </w:rPr>
        <w:t>R</w:t>
      </w:r>
      <w:r w:rsidR="004A517F" w:rsidRPr="00A65FD9">
        <w:rPr>
          <w:rFonts w:ascii="Arial" w:hAnsi="Arial" w:cs="Arial"/>
          <w:b/>
          <w:bCs/>
        </w:rPr>
        <w:t>esponsibilities</w:t>
      </w:r>
    </w:p>
    <w:p w14:paraId="4B0A6D8B" w14:textId="79BD557B" w:rsidR="00B9141C" w:rsidRPr="00B9141C" w:rsidRDefault="0060339F" w:rsidP="001C76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addition to the above and w</w:t>
      </w:r>
      <w:r w:rsidR="00B9141C" w:rsidRPr="00B9141C">
        <w:rPr>
          <w:rFonts w:ascii="Arial" w:hAnsi="Arial" w:cs="Arial"/>
        </w:rPr>
        <w:t>ithin the authority limits delegated to them by the Board</w:t>
      </w:r>
      <w:r w:rsidR="001C76CA">
        <w:rPr>
          <w:rFonts w:ascii="Arial" w:hAnsi="Arial" w:cs="Arial"/>
        </w:rPr>
        <w:t>, the CEO is responsible for</w:t>
      </w:r>
      <w:r w:rsidR="00B9141C" w:rsidRPr="00B9141C">
        <w:rPr>
          <w:rFonts w:ascii="Arial" w:hAnsi="Arial" w:cs="Arial"/>
        </w:rPr>
        <w:t>:</w:t>
      </w:r>
    </w:p>
    <w:p w14:paraId="40C5EC99" w14:textId="0F24DCB0" w:rsidR="00B9141C" w:rsidRDefault="00B9141C" w:rsidP="00B9141C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Business Strategy and Management </w:t>
      </w:r>
    </w:p>
    <w:p w14:paraId="4A3AD9ED" w14:textId="22E6A706" w:rsidR="00B67AE9" w:rsidRPr="00C350AC" w:rsidRDefault="00B9141C" w:rsidP="00B9141C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C350AC">
        <w:rPr>
          <w:rFonts w:ascii="Arial" w:hAnsi="Arial" w:cs="Arial"/>
        </w:rPr>
        <w:t>Developing Group objectives and strategy having regard to the Group’s responsibilities to its stakeholders</w:t>
      </w:r>
      <w:r w:rsidR="0060339F" w:rsidRPr="00C350AC">
        <w:rPr>
          <w:rFonts w:ascii="Arial" w:hAnsi="Arial" w:cs="Arial"/>
        </w:rPr>
        <w:t xml:space="preserve">, including </w:t>
      </w:r>
      <w:r w:rsidR="00B67AE9" w:rsidRPr="00C350AC">
        <w:rPr>
          <w:rFonts w:ascii="Arial" w:hAnsi="Arial" w:cs="Arial"/>
        </w:rPr>
        <w:t>its clients, people, investors, communities, regulators and suppliers.</w:t>
      </w:r>
    </w:p>
    <w:p w14:paraId="57438C9F" w14:textId="0F47E405" w:rsidR="00B9141C" w:rsidRPr="00C350AC" w:rsidRDefault="00B67AE9" w:rsidP="00B9141C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C350AC">
        <w:rPr>
          <w:rFonts w:ascii="Arial" w:hAnsi="Arial" w:cs="Arial"/>
        </w:rPr>
        <w:t>R</w:t>
      </w:r>
      <w:r w:rsidR="00B9141C" w:rsidRPr="00C350AC">
        <w:rPr>
          <w:rFonts w:ascii="Arial" w:hAnsi="Arial" w:cs="Arial"/>
        </w:rPr>
        <w:t>eporting to the Board on all aspects of the performance and management of the Group</w:t>
      </w:r>
      <w:r w:rsidR="0060339F" w:rsidRPr="00C350AC">
        <w:rPr>
          <w:rFonts w:ascii="Arial" w:hAnsi="Arial" w:cs="Arial"/>
        </w:rPr>
        <w:t xml:space="preserve"> </w:t>
      </w:r>
      <w:r w:rsidR="00B9141C" w:rsidRPr="00C350AC">
        <w:rPr>
          <w:rFonts w:ascii="Arial" w:hAnsi="Arial" w:cs="Arial"/>
        </w:rPr>
        <w:t>and being held accountable for overall business performance.</w:t>
      </w:r>
    </w:p>
    <w:p w14:paraId="7537BCE9" w14:textId="2021E05B" w:rsidR="00B9141C" w:rsidRPr="00C350AC" w:rsidRDefault="00B9141C" w:rsidP="00B9141C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C350AC">
        <w:rPr>
          <w:rFonts w:ascii="Arial" w:hAnsi="Arial" w:cs="Arial"/>
        </w:rPr>
        <w:t xml:space="preserve">Recommending to the Board an annual budget and Four-Year Plan and working to ensure </w:t>
      </w:r>
      <w:r w:rsidR="0060339F" w:rsidRPr="00C350AC">
        <w:rPr>
          <w:rFonts w:ascii="Arial" w:hAnsi="Arial" w:cs="Arial"/>
        </w:rPr>
        <w:t>they are achieved</w:t>
      </w:r>
      <w:r w:rsidRPr="00C350AC">
        <w:rPr>
          <w:rFonts w:ascii="Arial" w:hAnsi="Arial" w:cs="Arial"/>
        </w:rPr>
        <w:t>.</w:t>
      </w:r>
    </w:p>
    <w:p w14:paraId="4EA8BB67" w14:textId="38FC4F94" w:rsidR="0060339F" w:rsidRPr="00C350AC" w:rsidRDefault="0060339F" w:rsidP="00B9141C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C350AC">
        <w:rPr>
          <w:rFonts w:ascii="Arial" w:hAnsi="Arial" w:cs="Arial"/>
        </w:rPr>
        <w:t>Overseeing the sustainability of current business and development of new business.</w:t>
      </w:r>
    </w:p>
    <w:p w14:paraId="7372F31E" w14:textId="1F854AC9" w:rsidR="00B9141C" w:rsidRPr="00C350AC" w:rsidRDefault="00B9141C" w:rsidP="0060339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C350AC">
        <w:rPr>
          <w:rFonts w:ascii="Arial" w:hAnsi="Arial" w:cs="Arial"/>
        </w:rPr>
        <w:t>Optimising the use and adequacy of the Group’s resources.</w:t>
      </w:r>
    </w:p>
    <w:p w14:paraId="79DB0C27" w14:textId="1AE76823" w:rsidR="0060339F" w:rsidRPr="0060339F" w:rsidRDefault="0060339F" w:rsidP="0060339F">
      <w:pPr>
        <w:jc w:val="both"/>
        <w:rPr>
          <w:rFonts w:ascii="Arial" w:hAnsi="Arial" w:cs="Arial"/>
          <w:i/>
          <w:iCs/>
        </w:rPr>
      </w:pPr>
      <w:r w:rsidRPr="0060339F">
        <w:rPr>
          <w:rFonts w:ascii="Arial" w:hAnsi="Arial" w:cs="Arial"/>
          <w:i/>
          <w:iCs/>
        </w:rPr>
        <w:t>Investment and Financing</w:t>
      </w:r>
    </w:p>
    <w:p w14:paraId="169BBF20" w14:textId="279DE53B" w:rsidR="0060339F" w:rsidRPr="00B26513" w:rsidRDefault="0060339F" w:rsidP="0060339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B26513">
        <w:rPr>
          <w:rFonts w:ascii="Arial" w:hAnsi="Arial" w:cs="Arial"/>
        </w:rPr>
        <w:t>Examining all investments and major capital expenditure proposed by the Group</w:t>
      </w:r>
      <w:r w:rsidR="00B26513" w:rsidRPr="00B26513">
        <w:rPr>
          <w:rFonts w:ascii="Arial" w:hAnsi="Arial" w:cs="Arial"/>
        </w:rPr>
        <w:t xml:space="preserve"> </w:t>
      </w:r>
      <w:r w:rsidRPr="00B26513">
        <w:rPr>
          <w:rFonts w:ascii="Arial" w:hAnsi="Arial" w:cs="Arial"/>
        </w:rPr>
        <w:t xml:space="preserve">and recommending to the Board those </w:t>
      </w:r>
      <w:r w:rsidR="00B26513">
        <w:rPr>
          <w:rFonts w:ascii="Arial" w:hAnsi="Arial" w:cs="Arial"/>
        </w:rPr>
        <w:t>that</w:t>
      </w:r>
      <w:r w:rsidRPr="00B26513">
        <w:rPr>
          <w:rFonts w:ascii="Arial" w:hAnsi="Arial" w:cs="Arial"/>
        </w:rPr>
        <w:t xml:space="preserve"> are within its authority.</w:t>
      </w:r>
    </w:p>
    <w:p w14:paraId="76DF5DFD" w14:textId="6EA71BC5" w:rsidR="0060339F" w:rsidRPr="0060339F" w:rsidRDefault="0060339F" w:rsidP="0060339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60339F">
        <w:rPr>
          <w:rFonts w:ascii="Arial" w:hAnsi="Arial" w:cs="Arial"/>
        </w:rPr>
        <w:t xml:space="preserve">Identifying, recommending </w:t>
      </w:r>
      <w:r w:rsidR="00B26513">
        <w:rPr>
          <w:rFonts w:ascii="Arial" w:hAnsi="Arial" w:cs="Arial"/>
        </w:rPr>
        <w:t>to the Board as appropriate and</w:t>
      </w:r>
      <w:r w:rsidRPr="0060339F">
        <w:rPr>
          <w:rFonts w:ascii="Arial" w:hAnsi="Arial" w:cs="Arial"/>
        </w:rPr>
        <w:t xml:space="preserve"> executing </w:t>
      </w:r>
      <w:r w:rsidR="00B26513">
        <w:rPr>
          <w:rFonts w:ascii="Arial" w:hAnsi="Arial" w:cs="Arial"/>
        </w:rPr>
        <w:t xml:space="preserve">agreed </w:t>
      </w:r>
      <w:r w:rsidRPr="0060339F">
        <w:rPr>
          <w:rFonts w:ascii="Arial" w:hAnsi="Arial" w:cs="Arial"/>
        </w:rPr>
        <w:t>acquisitions, joint ventures and disposals.</w:t>
      </w:r>
    </w:p>
    <w:p w14:paraId="26308A5C" w14:textId="1C37737F" w:rsidR="0060339F" w:rsidRPr="0060339F" w:rsidRDefault="0060339F" w:rsidP="0060339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60339F">
        <w:rPr>
          <w:rFonts w:ascii="Arial" w:hAnsi="Arial" w:cs="Arial"/>
        </w:rPr>
        <w:t>Identifying and executing new business opportunities.</w:t>
      </w:r>
    </w:p>
    <w:p w14:paraId="5100C38A" w14:textId="4285B356" w:rsidR="00EE0111" w:rsidRDefault="0060339F" w:rsidP="0060339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60339F">
        <w:rPr>
          <w:rFonts w:ascii="Arial" w:hAnsi="Arial" w:cs="Arial"/>
        </w:rPr>
        <w:t>Leading diversification initiatives.</w:t>
      </w:r>
    </w:p>
    <w:p w14:paraId="3815179B" w14:textId="58E1014B" w:rsidR="0060339F" w:rsidRPr="00886E99" w:rsidRDefault="00B67AE9" w:rsidP="00886E99">
      <w:pPr>
        <w:jc w:val="both"/>
        <w:rPr>
          <w:rFonts w:ascii="Arial" w:hAnsi="Arial" w:cs="Arial"/>
        </w:rPr>
      </w:pPr>
      <w:r w:rsidRPr="00B67AE9">
        <w:rPr>
          <w:rFonts w:ascii="Arial" w:hAnsi="Arial" w:cs="Arial"/>
          <w:i/>
          <w:iCs/>
        </w:rPr>
        <w:t>Risk management and controls</w:t>
      </w:r>
    </w:p>
    <w:p w14:paraId="5920394A" w14:textId="3FE85C18" w:rsidR="00886E99" w:rsidRPr="00886E99" w:rsidRDefault="00886E99" w:rsidP="00886E9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86E99">
        <w:rPr>
          <w:rFonts w:ascii="Arial" w:hAnsi="Arial" w:cs="Arial"/>
        </w:rPr>
        <w:lastRenderedPageBreak/>
        <w:t>Managing the Group’s risk profile in line with the extent and categories of risk</w:t>
      </w:r>
      <w:r>
        <w:rPr>
          <w:rFonts w:ascii="Arial" w:hAnsi="Arial" w:cs="Arial"/>
        </w:rPr>
        <w:t xml:space="preserve"> </w:t>
      </w:r>
      <w:r w:rsidRPr="00886E99">
        <w:rPr>
          <w:rFonts w:ascii="Arial" w:hAnsi="Arial" w:cs="Arial"/>
        </w:rPr>
        <w:t>identified as acceptable by the Board.</w:t>
      </w:r>
    </w:p>
    <w:p w14:paraId="288C5E51" w14:textId="5903E86E" w:rsidR="0065476F" w:rsidRDefault="00886E99" w:rsidP="00886E9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86E99">
        <w:rPr>
          <w:rFonts w:ascii="Arial" w:hAnsi="Arial" w:cs="Arial"/>
        </w:rPr>
        <w:t xml:space="preserve">Ensuring </w:t>
      </w:r>
      <w:r w:rsidR="00B26513">
        <w:rPr>
          <w:rFonts w:ascii="Arial" w:hAnsi="Arial" w:cs="Arial"/>
        </w:rPr>
        <w:t xml:space="preserve">that the </w:t>
      </w:r>
      <w:r w:rsidRPr="00886E99">
        <w:rPr>
          <w:rFonts w:ascii="Arial" w:hAnsi="Arial" w:cs="Arial"/>
        </w:rPr>
        <w:t>appropriate internal controls are in place.</w:t>
      </w:r>
    </w:p>
    <w:p w14:paraId="639C0473" w14:textId="301A8E4C" w:rsidR="00886E99" w:rsidRPr="00886E99" w:rsidRDefault="00886E99" w:rsidP="00886E9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Ensuing </w:t>
      </w:r>
      <w:r w:rsidRPr="00886E99">
        <w:rPr>
          <w:rFonts w:ascii="Arial" w:hAnsi="Arial" w:cs="Arial"/>
        </w:rPr>
        <w:t>Group policies and procedures are followed and conform to the</w:t>
      </w:r>
      <w:r>
        <w:rPr>
          <w:rFonts w:ascii="Arial" w:hAnsi="Arial" w:cs="Arial"/>
        </w:rPr>
        <w:t xml:space="preserve"> </w:t>
      </w:r>
      <w:r w:rsidRPr="00886E99">
        <w:rPr>
          <w:rFonts w:ascii="Arial" w:hAnsi="Arial" w:cs="Arial"/>
        </w:rPr>
        <w:t>appropriate standards.</w:t>
      </w:r>
    </w:p>
    <w:p w14:paraId="60EF1D3C" w14:textId="23E575C5" w:rsidR="00EE0111" w:rsidRDefault="00886E99" w:rsidP="00EE0111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Communication</w:t>
      </w:r>
    </w:p>
    <w:p w14:paraId="7D093C84" w14:textId="77777777" w:rsidR="00886E99" w:rsidRDefault="00886E99" w:rsidP="00886E9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86E99">
        <w:rPr>
          <w:rFonts w:ascii="Arial" w:hAnsi="Arial" w:cs="Arial"/>
        </w:rPr>
        <w:t>Providing timely and accurate disclosure of information to the Board, employees and</w:t>
      </w:r>
      <w:r>
        <w:rPr>
          <w:rFonts w:ascii="Arial" w:hAnsi="Arial" w:cs="Arial"/>
        </w:rPr>
        <w:t xml:space="preserve"> </w:t>
      </w:r>
      <w:r w:rsidRPr="00886E99">
        <w:rPr>
          <w:rFonts w:ascii="Arial" w:hAnsi="Arial" w:cs="Arial"/>
        </w:rPr>
        <w:t>key stakeholders</w:t>
      </w:r>
      <w:r>
        <w:rPr>
          <w:rFonts w:ascii="Arial" w:hAnsi="Arial" w:cs="Arial"/>
        </w:rPr>
        <w:t>.</w:t>
      </w:r>
    </w:p>
    <w:p w14:paraId="48D8A6B0" w14:textId="3D9A1E2C" w:rsidR="00886E99" w:rsidRPr="00886E99" w:rsidRDefault="00886E99" w:rsidP="00886E9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86E99">
        <w:rPr>
          <w:rFonts w:ascii="Arial" w:hAnsi="Arial" w:cs="Arial"/>
        </w:rPr>
        <w:t>Ensuring effective communication with all stakeholders, as the main spokesperson for</w:t>
      </w:r>
      <w:r>
        <w:rPr>
          <w:rFonts w:ascii="Arial" w:hAnsi="Arial" w:cs="Arial"/>
        </w:rPr>
        <w:t xml:space="preserve"> </w:t>
      </w:r>
      <w:r w:rsidR="00B26513">
        <w:rPr>
          <w:rFonts w:ascii="Arial" w:hAnsi="Arial" w:cs="Arial"/>
        </w:rPr>
        <w:t>the Group</w:t>
      </w:r>
      <w:r>
        <w:rPr>
          <w:rFonts w:ascii="Arial" w:hAnsi="Arial" w:cs="Arial"/>
        </w:rPr>
        <w:t>.</w:t>
      </w:r>
    </w:p>
    <w:p w14:paraId="3BE42B18" w14:textId="1A70568F" w:rsidR="00EE0111" w:rsidRPr="00886E99" w:rsidRDefault="00886E99" w:rsidP="00886E99">
      <w:pPr>
        <w:jc w:val="both"/>
        <w:rPr>
          <w:rFonts w:ascii="Arial" w:hAnsi="Arial" w:cs="Arial"/>
        </w:rPr>
      </w:pPr>
      <w:r w:rsidRPr="00886E99">
        <w:rPr>
          <w:rFonts w:ascii="Arial" w:hAnsi="Arial" w:cs="Arial"/>
          <w:i/>
          <w:iCs/>
        </w:rPr>
        <w:t>Culture and people</w:t>
      </w:r>
      <w:r w:rsidR="00EE0111" w:rsidRPr="00886E99">
        <w:rPr>
          <w:rFonts w:ascii="Arial" w:hAnsi="Arial" w:cs="Arial"/>
          <w:i/>
          <w:iCs/>
        </w:rPr>
        <w:t xml:space="preserve"> </w:t>
      </w:r>
    </w:p>
    <w:p w14:paraId="2BE5CE1C" w14:textId="68AB30CF" w:rsidR="00886E99" w:rsidRPr="00886E99" w:rsidRDefault="00886E99" w:rsidP="00886E9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86E99">
        <w:rPr>
          <w:rFonts w:ascii="Arial" w:hAnsi="Arial" w:cs="Arial"/>
        </w:rPr>
        <w:t>Identifying, hiring, developing and retaining the best talent for achieving the</w:t>
      </w:r>
      <w:r>
        <w:rPr>
          <w:rFonts w:ascii="Arial" w:hAnsi="Arial" w:cs="Arial"/>
        </w:rPr>
        <w:t xml:space="preserve"> </w:t>
      </w:r>
      <w:r w:rsidR="00B26513">
        <w:rPr>
          <w:rFonts w:ascii="Arial" w:hAnsi="Arial" w:cs="Arial"/>
        </w:rPr>
        <w:t xml:space="preserve">Company’s </w:t>
      </w:r>
      <w:r w:rsidRPr="00886E99">
        <w:rPr>
          <w:rFonts w:ascii="Arial" w:hAnsi="Arial" w:cs="Arial"/>
        </w:rPr>
        <w:t>goals including through fostering a culture of diversity, equity and</w:t>
      </w:r>
      <w:r>
        <w:rPr>
          <w:rFonts w:ascii="Arial" w:hAnsi="Arial" w:cs="Arial"/>
        </w:rPr>
        <w:t xml:space="preserve"> </w:t>
      </w:r>
      <w:r w:rsidRPr="00886E99">
        <w:rPr>
          <w:rFonts w:ascii="Arial" w:hAnsi="Arial" w:cs="Arial"/>
        </w:rPr>
        <w:t>inclusion.</w:t>
      </w:r>
    </w:p>
    <w:p w14:paraId="71257EAD" w14:textId="3A795709" w:rsidR="00886E99" w:rsidRPr="00886E99" w:rsidRDefault="00886E99" w:rsidP="00886E9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86E99">
        <w:rPr>
          <w:rFonts w:ascii="Arial" w:hAnsi="Arial" w:cs="Arial"/>
        </w:rPr>
        <w:t>Setting Group HR policies, including management development and succession</w:t>
      </w:r>
      <w:r>
        <w:rPr>
          <w:rFonts w:ascii="Arial" w:hAnsi="Arial" w:cs="Arial"/>
        </w:rPr>
        <w:t xml:space="preserve"> </w:t>
      </w:r>
      <w:r w:rsidRPr="00886E99">
        <w:rPr>
          <w:rFonts w:ascii="Arial" w:hAnsi="Arial" w:cs="Arial"/>
        </w:rPr>
        <w:t>planning for the senior executive team and approving the appointment and</w:t>
      </w:r>
      <w:r>
        <w:rPr>
          <w:rFonts w:ascii="Arial" w:hAnsi="Arial" w:cs="Arial"/>
        </w:rPr>
        <w:t xml:space="preserve"> </w:t>
      </w:r>
      <w:r w:rsidRPr="00886E99">
        <w:rPr>
          <w:rFonts w:ascii="Arial" w:hAnsi="Arial" w:cs="Arial"/>
        </w:rPr>
        <w:t>termination of employment of members of that team.</w:t>
      </w:r>
    </w:p>
    <w:p w14:paraId="3097A58A" w14:textId="608C254E" w:rsidR="00886E99" w:rsidRDefault="00886E99" w:rsidP="00886E9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86E99">
        <w:rPr>
          <w:rFonts w:ascii="Arial" w:hAnsi="Arial" w:cs="Arial"/>
        </w:rPr>
        <w:t xml:space="preserve">Overseeing the adoption of </w:t>
      </w:r>
      <w:r w:rsidR="00B26513">
        <w:rPr>
          <w:rFonts w:ascii="Arial" w:hAnsi="Arial" w:cs="Arial"/>
        </w:rPr>
        <w:t>the Company</w:t>
      </w:r>
      <w:r w:rsidRPr="00886E99">
        <w:rPr>
          <w:rFonts w:ascii="Arial" w:hAnsi="Arial" w:cs="Arial"/>
        </w:rPr>
        <w:t>’s culture in the day-to-day management of the</w:t>
      </w:r>
      <w:r>
        <w:rPr>
          <w:rFonts w:ascii="Arial" w:hAnsi="Arial" w:cs="Arial"/>
        </w:rPr>
        <w:t xml:space="preserve"> </w:t>
      </w:r>
      <w:r w:rsidRPr="00886E99">
        <w:rPr>
          <w:rFonts w:ascii="Arial" w:hAnsi="Arial" w:cs="Arial"/>
        </w:rPr>
        <w:t>Group.</w:t>
      </w:r>
    </w:p>
    <w:p w14:paraId="1E1CFD54" w14:textId="77777777" w:rsidR="00ED7F15" w:rsidRDefault="00886E99" w:rsidP="00ED7F1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86E99">
        <w:rPr>
          <w:rFonts w:ascii="Arial" w:hAnsi="Arial" w:cs="Arial"/>
        </w:rPr>
        <w:t xml:space="preserve">Leading by example and promoting the desired culture by displaying </w:t>
      </w:r>
      <w:r>
        <w:rPr>
          <w:rFonts w:ascii="Arial" w:hAnsi="Arial" w:cs="Arial"/>
        </w:rPr>
        <w:t>IG’s</w:t>
      </w:r>
      <w:r w:rsidRPr="00886E99">
        <w:rPr>
          <w:rFonts w:ascii="Arial" w:hAnsi="Arial" w:cs="Arial"/>
        </w:rPr>
        <w:t xml:space="preserve"> values</w:t>
      </w:r>
      <w:r>
        <w:rPr>
          <w:rFonts w:ascii="Arial" w:hAnsi="Arial" w:cs="Arial"/>
        </w:rPr>
        <w:t xml:space="preserve"> </w:t>
      </w:r>
      <w:r w:rsidRPr="00886E99">
        <w:rPr>
          <w:rFonts w:ascii="Arial" w:hAnsi="Arial" w:cs="Arial"/>
        </w:rPr>
        <w:t>and supporting behaviours, demonstrating a high standard of business conduct and</w:t>
      </w:r>
      <w:r>
        <w:rPr>
          <w:rFonts w:ascii="Arial" w:hAnsi="Arial" w:cs="Arial"/>
        </w:rPr>
        <w:t xml:space="preserve"> </w:t>
      </w:r>
      <w:r w:rsidRPr="00886E99">
        <w:rPr>
          <w:rFonts w:ascii="Arial" w:hAnsi="Arial" w:cs="Arial"/>
        </w:rPr>
        <w:t xml:space="preserve">ethics and sponsoring the implementation of </w:t>
      </w:r>
      <w:r>
        <w:rPr>
          <w:rFonts w:ascii="Arial" w:hAnsi="Arial" w:cs="Arial"/>
        </w:rPr>
        <w:t>IG’s</w:t>
      </w:r>
      <w:r w:rsidRPr="00886E99">
        <w:rPr>
          <w:rFonts w:ascii="Arial" w:hAnsi="Arial" w:cs="Arial"/>
        </w:rPr>
        <w:t xml:space="preserve"> values and supporting</w:t>
      </w:r>
      <w:r>
        <w:rPr>
          <w:rFonts w:ascii="Arial" w:hAnsi="Arial" w:cs="Arial"/>
        </w:rPr>
        <w:t xml:space="preserve"> </w:t>
      </w:r>
      <w:r w:rsidRPr="00886E99">
        <w:rPr>
          <w:rFonts w:ascii="Arial" w:hAnsi="Arial" w:cs="Arial"/>
        </w:rPr>
        <w:t>behaviours throughout the Group.</w:t>
      </w:r>
      <w:r w:rsidR="00ED7F15" w:rsidRPr="00ED7F15">
        <w:t xml:space="preserve"> </w:t>
      </w:r>
    </w:p>
    <w:p w14:paraId="45B4D1D1" w14:textId="6529FF44" w:rsidR="00ED7F15" w:rsidRDefault="00ED7F15" w:rsidP="00ED7F1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Making </w:t>
      </w:r>
      <w:r w:rsidRPr="00ED7F15">
        <w:rPr>
          <w:rFonts w:ascii="Arial" w:hAnsi="Arial" w:cs="Arial"/>
        </w:rPr>
        <w:t xml:space="preserve">recommendations on remuneration policy, </w:t>
      </w:r>
      <w:r w:rsidR="00D23AAD">
        <w:rPr>
          <w:rFonts w:ascii="Arial" w:hAnsi="Arial" w:cs="Arial"/>
        </w:rPr>
        <w:t>E</w:t>
      </w:r>
      <w:r w:rsidRPr="00ED7F15">
        <w:rPr>
          <w:rFonts w:ascii="Arial" w:hAnsi="Arial" w:cs="Arial"/>
        </w:rPr>
        <w:t>xecutive remuneration and terms of</w:t>
      </w:r>
      <w:r>
        <w:rPr>
          <w:rFonts w:ascii="Arial" w:hAnsi="Arial" w:cs="Arial"/>
        </w:rPr>
        <w:t xml:space="preserve"> </w:t>
      </w:r>
      <w:r w:rsidRPr="00ED7F15">
        <w:rPr>
          <w:rFonts w:ascii="Arial" w:hAnsi="Arial" w:cs="Arial"/>
        </w:rPr>
        <w:t>employment of the senior executive team, including the Company Secretary, to the</w:t>
      </w:r>
    </w:p>
    <w:p w14:paraId="2CE13193" w14:textId="32BCF347" w:rsidR="00ED7F15" w:rsidRPr="00ED7F15" w:rsidRDefault="00ED7F15" w:rsidP="00ED7F15">
      <w:pPr>
        <w:pStyle w:val="ListParagraph"/>
        <w:jc w:val="both"/>
        <w:rPr>
          <w:rFonts w:ascii="Arial" w:hAnsi="Arial" w:cs="Arial"/>
        </w:rPr>
      </w:pPr>
      <w:r w:rsidRPr="00ED7F15">
        <w:rPr>
          <w:rFonts w:ascii="Arial" w:hAnsi="Arial" w:cs="Arial"/>
        </w:rPr>
        <w:t>Remuneration Committee</w:t>
      </w:r>
      <w:r>
        <w:rPr>
          <w:rFonts w:ascii="Arial" w:hAnsi="Arial" w:cs="Arial"/>
        </w:rPr>
        <w:t>.</w:t>
      </w:r>
    </w:p>
    <w:p w14:paraId="523AE167" w14:textId="5275D6C1" w:rsidR="00ED7F15" w:rsidRDefault="00ED7F15" w:rsidP="00ED7F15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Other</w:t>
      </w:r>
    </w:p>
    <w:p w14:paraId="1F4DD826" w14:textId="12856DA4" w:rsidR="00B9141C" w:rsidRPr="00ED7F15" w:rsidRDefault="00ED7F15" w:rsidP="00ED7F1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Providing </w:t>
      </w:r>
      <w:r w:rsidRPr="00ED7F15">
        <w:rPr>
          <w:rFonts w:ascii="Arial" w:hAnsi="Arial" w:cs="Arial"/>
        </w:rPr>
        <w:t>the Board with the necessary resources for developing and updating their</w:t>
      </w:r>
      <w:r>
        <w:rPr>
          <w:rFonts w:ascii="Arial" w:hAnsi="Arial" w:cs="Arial"/>
        </w:rPr>
        <w:t xml:space="preserve"> </w:t>
      </w:r>
      <w:r w:rsidRPr="00ED7F15">
        <w:rPr>
          <w:rFonts w:ascii="Arial" w:hAnsi="Arial" w:cs="Arial"/>
        </w:rPr>
        <w:t xml:space="preserve">knowledge and capabilities and appropriate knowledge of </w:t>
      </w:r>
      <w:r>
        <w:rPr>
          <w:rFonts w:ascii="Arial" w:hAnsi="Arial" w:cs="Arial"/>
        </w:rPr>
        <w:t>IG</w:t>
      </w:r>
      <w:r w:rsidRPr="00ED7F15">
        <w:rPr>
          <w:rFonts w:ascii="Arial" w:hAnsi="Arial" w:cs="Arial"/>
        </w:rPr>
        <w:t xml:space="preserve"> including access</w:t>
      </w:r>
      <w:r>
        <w:rPr>
          <w:rFonts w:ascii="Arial" w:hAnsi="Arial" w:cs="Arial"/>
        </w:rPr>
        <w:t xml:space="preserve"> t</w:t>
      </w:r>
      <w:r w:rsidRPr="00ED7F15">
        <w:rPr>
          <w:rFonts w:ascii="Arial" w:hAnsi="Arial" w:cs="Arial"/>
        </w:rPr>
        <w:t xml:space="preserve">o </w:t>
      </w:r>
      <w:r w:rsidR="00D23AAD">
        <w:rPr>
          <w:rFonts w:ascii="Arial" w:hAnsi="Arial" w:cs="Arial"/>
        </w:rPr>
        <w:t>C</w:t>
      </w:r>
      <w:r w:rsidRPr="00ED7F15">
        <w:rPr>
          <w:rFonts w:ascii="Arial" w:hAnsi="Arial" w:cs="Arial"/>
        </w:rPr>
        <w:t>ompany operations and members of the workforce.</w:t>
      </w:r>
    </w:p>
    <w:p w14:paraId="637A00E0" w14:textId="0C1F6E13" w:rsidR="00B9141C" w:rsidRPr="00ED7F15" w:rsidRDefault="00ED7F15" w:rsidP="002E48B0">
      <w:pPr>
        <w:spacing w:after="0"/>
        <w:jc w:val="both"/>
        <w:rPr>
          <w:rFonts w:ascii="Arial" w:hAnsi="Arial" w:cs="Arial"/>
        </w:rPr>
      </w:pPr>
      <w:bookmarkStart w:id="0" w:name="_Hlk133852449"/>
      <w:r w:rsidRPr="002E48B0">
        <w:rPr>
          <w:rFonts w:ascii="Arial" w:hAnsi="Arial" w:cs="Arial"/>
          <w:u w:val="single"/>
        </w:rPr>
        <w:t>Note</w:t>
      </w:r>
      <w:r w:rsidRPr="00ED7F15">
        <w:rPr>
          <w:rFonts w:ascii="Arial" w:hAnsi="Arial" w:cs="Arial"/>
        </w:rPr>
        <w:t xml:space="preserve">: </w:t>
      </w:r>
    </w:p>
    <w:p w14:paraId="31ED14E6" w14:textId="77777777" w:rsidR="00ED7F15" w:rsidRDefault="00ED7F15" w:rsidP="002E48B0">
      <w:pPr>
        <w:spacing w:after="0"/>
        <w:jc w:val="both"/>
        <w:rPr>
          <w:rFonts w:ascii="Arial" w:hAnsi="Arial" w:cs="Arial"/>
        </w:rPr>
      </w:pPr>
      <w:r w:rsidRPr="00ED7F15">
        <w:rPr>
          <w:rFonts w:ascii="Arial" w:hAnsi="Arial" w:cs="Arial"/>
        </w:rPr>
        <w:t xml:space="preserve">The role of the </w:t>
      </w:r>
      <w:r>
        <w:rPr>
          <w:rFonts w:ascii="Arial" w:hAnsi="Arial" w:cs="Arial"/>
        </w:rPr>
        <w:t>CEO</w:t>
      </w:r>
      <w:r w:rsidRPr="00ED7F15">
        <w:rPr>
          <w:rFonts w:ascii="Arial" w:hAnsi="Arial" w:cs="Arial"/>
        </w:rPr>
        <w:t xml:space="preserve"> should be read and interpreted in the context of the Group's overall system of governance and in particular: </w:t>
      </w:r>
    </w:p>
    <w:p w14:paraId="5AFC3DE5" w14:textId="4EF783A1" w:rsidR="00ED7F15" w:rsidRPr="00ED7F15" w:rsidRDefault="00ED7F15" w:rsidP="002E48B0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 </w:t>
      </w:r>
      <w:r w:rsidR="00D23AAD">
        <w:rPr>
          <w:rFonts w:ascii="Arial" w:hAnsi="Arial" w:cs="Arial"/>
        </w:rPr>
        <w:t>S</w:t>
      </w:r>
      <w:r w:rsidRPr="00ED7F15">
        <w:rPr>
          <w:rFonts w:ascii="Arial" w:hAnsi="Arial" w:cs="Arial"/>
        </w:rPr>
        <w:t xml:space="preserve">chedule of </w:t>
      </w:r>
      <w:r w:rsidR="00D23AAD">
        <w:rPr>
          <w:rFonts w:ascii="Arial" w:hAnsi="Arial" w:cs="Arial"/>
        </w:rPr>
        <w:t>M</w:t>
      </w:r>
      <w:r w:rsidRPr="00ED7F15">
        <w:rPr>
          <w:rFonts w:ascii="Arial" w:hAnsi="Arial" w:cs="Arial"/>
        </w:rPr>
        <w:t xml:space="preserve">atters </w:t>
      </w:r>
      <w:r w:rsidR="00D23AAD">
        <w:rPr>
          <w:rFonts w:ascii="Arial" w:hAnsi="Arial" w:cs="Arial"/>
        </w:rPr>
        <w:t>R</w:t>
      </w:r>
      <w:r w:rsidRPr="00ED7F15">
        <w:rPr>
          <w:rFonts w:ascii="Arial" w:hAnsi="Arial" w:cs="Arial"/>
        </w:rPr>
        <w:t>eserved for the Board;</w:t>
      </w:r>
    </w:p>
    <w:p w14:paraId="138920B9" w14:textId="5CE164DA" w:rsidR="00ED7F15" w:rsidRPr="00ED7F15" w:rsidRDefault="00ED7F15" w:rsidP="002E48B0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</w:rPr>
      </w:pPr>
      <w:r w:rsidRPr="00ED7F15">
        <w:rPr>
          <w:rFonts w:ascii="Arial" w:hAnsi="Arial" w:cs="Arial"/>
        </w:rPr>
        <w:t xml:space="preserve">the </w:t>
      </w:r>
      <w:r w:rsidR="00D23AAD">
        <w:rPr>
          <w:rFonts w:ascii="Arial" w:hAnsi="Arial" w:cs="Arial"/>
        </w:rPr>
        <w:t>T</w:t>
      </w:r>
      <w:r w:rsidRPr="00ED7F15">
        <w:rPr>
          <w:rFonts w:ascii="Arial" w:hAnsi="Arial" w:cs="Arial"/>
        </w:rPr>
        <w:t xml:space="preserve">erms of </w:t>
      </w:r>
      <w:r w:rsidR="00D23AAD">
        <w:rPr>
          <w:rFonts w:ascii="Arial" w:hAnsi="Arial" w:cs="Arial"/>
        </w:rPr>
        <w:t>R</w:t>
      </w:r>
      <w:r w:rsidRPr="00ED7F15">
        <w:rPr>
          <w:rFonts w:ascii="Arial" w:hAnsi="Arial" w:cs="Arial"/>
        </w:rPr>
        <w:t xml:space="preserve">eference of the </w:t>
      </w:r>
      <w:r w:rsidR="00D23AAD">
        <w:rPr>
          <w:rFonts w:ascii="Arial" w:hAnsi="Arial" w:cs="Arial"/>
        </w:rPr>
        <w:t xml:space="preserve">Board </w:t>
      </w:r>
      <w:r w:rsidRPr="00ED7F15">
        <w:rPr>
          <w:rFonts w:ascii="Arial" w:hAnsi="Arial" w:cs="Arial"/>
        </w:rPr>
        <w:t>Audit,</w:t>
      </w:r>
      <w:r>
        <w:rPr>
          <w:rFonts w:ascii="Arial" w:hAnsi="Arial" w:cs="Arial"/>
        </w:rPr>
        <w:t xml:space="preserve"> Risk,</w:t>
      </w:r>
      <w:r w:rsidRPr="00ED7F15">
        <w:rPr>
          <w:rFonts w:ascii="Arial" w:hAnsi="Arial" w:cs="Arial"/>
        </w:rPr>
        <w:t xml:space="preserve"> Nomination and Remuneration Committees; and</w:t>
      </w:r>
    </w:p>
    <w:p w14:paraId="2CCE88C0" w14:textId="182A8296" w:rsidR="00ED7F15" w:rsidRPr="00ED7F15" w:rsidRDefault="00ED7F15" w:rsidP="002E48B0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</w:rPr>
      </w:pPr>
      <w:r w:rsidRPr="00ED7F15">
        <w:rPr>
          <w:rFonts w:ascii="Arial" w:hAnsi="Arial" w:cs="Arial"/>
        </w:rPr>
        <w:t>the role description of the Chair</w:t>
      </w:r>
      <w:r>
        <w:rPr>
          <w:rFonts w:ascii="Arial" w:hAnsi="Arial" w:cs="Arial"/>
        </w:rPr>
        <w:t>.</w:t>
      </w:r>
      <w:bookmarkEnd w:id="0"/>
    </w:p>
    <w:sectPr w:rsidR="00ED7F15" w:rsidRPr="00ED7F15" w:rsidSect="000971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0AA0" w14:textId="77777777" w:rsidR="00372249" w:rsidRDefault="00372249" w:rsidP="00C41912">
      <w:pPr>
        <w:spacing w:after="0" w:line="240" w:lineRule="auto"/>
      </w:pPr>
      <w:r>
        <w:separator/>
      </w:r>
    </w:p>
  </w:endnote>
  <w:endnote w:type="continuationSeparator" w:id="0">
    <w:p w14:paraId="439EF910" w14:textId="77777777" w:rsidR="00372249" w:rsidRDefault="00372249" w:rsidP="00C41912">
      <w:pPr>
        <w:spacing w:after="0" w:line="240" w:lineRule="auto"/>
      </w:pPr>
      <w:r>
        <w:continuationSeparator/>
      </w:r>
    </w:p>
  </w:endnote>
  <w:endnote w:type="continuationNotice" w:id="1">
    <w:p w14:paraId="6E688B15" w14:textId="77777777" w:rsidR="00372249" w:rsidRDefault="003722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A73B" w14:textId="77777777" w:rsidR="00306A6F" w:rsidRDefault="00306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4C3B" w14:textId="3E2DDD3F" w:rsidR="00C41912" w:rsidRDefault="00C41912">
    <w:pPr>
      <w:pStyle w:val="Footer"/>
    </w:pPr>
    <w:r>
      <w:t>Approved: May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1EA7" w14:textId="77777777" w:rsidR="00306A6F" w:rsidRDefault="00306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8B54" w14:textId="77777777" w:rsidR="00372249" w:rsidRDefault="00372249" w:rsidP="00C41912">
      <w:pPr>
        <w:spacing w:after="0" w:line="240" w:lineRule="auto"/>
      </w:pPr>
      <w:r>
        <w:separator/>
      </w:r>
    </w:p>
  </w:footnote>
  <w:footnote w:type="continuationSeparator" w:id="0">
    <w:p w14:paraId="083C6A0C" w14:textId="77777777" w:rsidR="00372249" w:rsidRDefault="00372249" w:rsidP="00C41912">
      <w:pPr>
        <w:spacing w:after="0" w:line="240" w:lineRule="auto"/>
      </w:pPr>
      <w:r>
        <w:continuationSeparator/>
      </w:r>
    </w:p>
  </w:footnote>
  <w:footnote w:type="continuationNotice" w:id="1">
    <w:p w14:paraId="3C897119" w14:textId="77777777" w:rsidR="00372249" w:rsidRDefault="003722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9136" w14:textId="77777777" w:rsidR="00306A6F" w:rsidRDefault="00306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1309" w14:textId="49579E19" w:rsidR="00C41912" w:rsidRDefault="00C41912" w:rsidP="00C41912">
    <w:pPr>
      <w:pStyle w:val="Header"/>
      <w:tabs>
        <w:tab w:val="clear" w:pos="4513"/>
        <w:tab w:val="clear" w:pos="9026"/>
        <w:tab w:val="left" w:pos="9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4D73" w14:textId="3CEDB3E8" w:rsidR="00097187" w:rsidRDefault="006123C5">
    <w:pPr>
      <w:pStyle w:val="Header"/>
    </w:pPr>
    <w:r>
      <w:rPr>
        <w:rFonts w:ascii="Arial" w:hAnsi="Arial" w:cs="Arial"/>
        <w:b/>
        <w:bCs/>
        <w:noProof/>
        <w:color w:val="FFFFFF" w:themeColor="background1"/>
        <w:sz w:val="21"/>
        <w:szCs w:val="16"/>
      </w:rPr>
      <w:drawing>
        <wp:anchor distT="0" distB="0" distL="114300" distR="114300" simplePos="0" relativeHeight="251661312" behindDoc="1" locked="0" layoutInCell="1" allowOverlap="1" wp14:anchorId="061B8EB8" wp14:editId="1C4F2B33">
          <wp:simplePos x="0" y="0"/>
          <wp:positionH relativeFrom="page">
            <wp:posOffset>11648</wp:posOffset>
          </wp:positionH>
          <wp:positionV relativeFrom="page">
            <wp:posOffset>481</wp:posOffset>
          </wp:positionV>
          <wp:extent cx="1822450" cy="799994"/>
          <wp:effectExtent l="0" t="0" r="6350" b="635"/>
          <wp:wrapNone/>
          <wp:docPr id="47" name="Picture 47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&#10;&#10;Description automatically generated"/>
                  <pic:cNvPicPr/>
                </pic:nvPicPr>
                <pic:blipFill rotWithShape="1">
                  <a:blip r:embed="rId1"/>
                  <a:srcRect r="73100" b="91655"/>
                  <a:stretch/>
                </pic:blipFill>
                <pic:spPr bwMode="auto">
                  <a:xfrm>
                    <a:off x="0" y="0"/>
                    <a:ext cx="1822450" cy="7999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187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34FF81" wp14:editId="3E7B0162">
              <wp:simplePos x="0" y="0"/>
              <wp:positionH relativeFrom="page">
                <wp:posOffset>3506171</wp:posOffset>
              </wp:positionH>
              <wp:positionV relativeFrom="paragraph">
                <wp:posOffset>-449098</wp:posOffset>
              </wp:positionV>
              <wp:extent cx="4090317" cy="815340"/>
              <wp:effectExtent l="0" t="0" r="5715" b="381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90317" cy="815340"/>
                        <a:chOff x="0" y="0"/>
                        <a:chExt cx="4090317" cy="815340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2933700" y="0"/>
                          <a:ext cx="1156617" cy="670851"/>
                        </a:xfrm>
                        <a:prstGeom prst="rect">
                          <a:avLst/>
                        </a:prstGeom>
                        <a:solidFill>
                          <a:srgbClr val="0029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1022350" y="292100"/>
                          <a:ext cx="961390" cy="194310"/>
                        </a:xfrm>
                        <a:prstGeom prst="rect">
                          <a:avLst/>
                        </a:prstGeom>
                        <a:solidFill>
                          <a:srgbClr val="0029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1987550" y="488950"/>
                          <a:ext cx="1193800" cy="326390"/>
                        </a:xfrm>
                        <a:prstGeom prst="rect">
                          <a:avLst/>
                        </a:prstGeom>
                        <a:solidFill>
                          <a:srgbClr val="FF6E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0" y="0"/>
                          <a:ext cx="628015" cy="244475"/>
                        </a:xfrm>
                        <a:prstGeom prst="rect">
                          <a:avLst/>
                        </a:prstGeom>
                        <a:solidFill>
                          <a:srgbClr val="FF6E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B6B531" id="Group 4" o:spid="_x0000_s1026" style="position:absolute;margin-left:276.1pt;margin-top:-35.35pt;width:322.05pt;height:64.2pt;z-index:251659264;mso-position-horizontal-relative:page" coordsize="40903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">
              <v:rect id="Rectangle 5" o:spid="_x0000_s1027" style="position:absolute;left:29337;width:11566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" fillcolor="#002954" stroked="f" strokeweight="1pt"/>
              <v:rect id="Rectangle 6" o:spid="_x0000_s1028" style="position:absolute;left:10223;top:2921;width:9614;height:1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" fillcolor="#002954" stroked="f" strokeweight="1pt"/>
              <v:rect id="Rectangle 7" o:spid="_x0000_s1029" style="position:absolute;left:19875;top:4889;width:11938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" fillcolor="#ff6e1e" stroked="f" strokeweight="1pt"/>
              <v:rect id="Rectangle 8" o:spid="_x0000_s1030" style="position:absolute;width:6280;height:2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" fillcolor="#ff6e1e" stroked="f" strokeweight="1pt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659"/>
    <w:multiLevelType w:val="hybridMultilevel"/>
    <w:tmpl w:val="C0BC5F96"/>
    <w:lvl w:ilvl="0" w:tplc="C602B8B0">
      <w:start w:val="2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9F378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310752"/>
    <w:multiLevelType w:val="hybridMultilevel"/>
    <w:tmpl w:val="87FE7B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56CB1"/>
    <w:multiLevelType w:val="hybridMultilevel"/>
    <w:tmpl w:val="F8EAD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541F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A0692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2514AB"/>
    <w:multiLevelType w:val="multilevel"/>
    <w:tmpl w:val="10A4E5CA"/>
    <w:lvl w:ilvl="0">
      <w:start w:val="1"/>
      <w:numFmt w:val="decimal"/>
      <w:lvlText w:val="%1."/>
      <w:lvlJc w:val="left"/>
      <w:pPr>
        <w:ind w:left="567" w:hanging="428"/>
      </w:pPr>
      <w:rPr>
        <w:rFonts w:ascii="Arial" w:eastAsia="Century Gothic" w:hAnsi="Arial" w:cs="Arial" w:hint="default"/>
        <w:b/>
        <w:bCs/>
        <w:spacing w:val="0"/>
        <w:w w:val="100"/>
        <w:sz w:val="22"/>
        <w:szCs w:val="22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567" w:hanging="413"/>
      </w:pPr>
      <w:rPr>
        <w:rFonts w:ascii="Arial" w:eastAsia="Century Gothic" w:hAnsi="Arial" w:cs="Arial" w:hint="default"/>
        <w:spacing w:val="-2"/>
        <w:w w:val="100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1784" w:hanging="413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868" w:hanging="413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953" w:hanging="413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037" w:hanging="413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122" w:hanging="413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206" w:hanging="413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291" w:hanging="413"/>
      </w:pPr>
      <w:rPr>
        <w:rFonts w:hint="default"/>
        <w:lang w:val="en-GB" w:eastAsia="en-GB" w:bidi="en-GB"/>
      </w:rPr>
    </w:lvl>
  </w:abstractNum>
  <w:num w:numId="1" w16cid:durableId="1130249901">
    <w:abstractNumId w:val="4"/>
  </w:num>
  <w:num w:numId="2" w16cid:durableId="2086566619">
    <w:abstractNumId w:val="6"/>
  </w:num>
  <w:num w:numId="3" w16cid:durableId="480316560">
    <w:abstractNumId w:val="1"/>
  </w:num>
  <w:num w:numId="4" w16cid:durableId="862520799">
    <w:abstractNumId w:val="5"/>
  </w:num>
  <w:num w:numId="5" w16cid:durableId="648826280">
    <w:abstractNumId w:val="0"/>
  </w:num>
  <w:num w:numId="6" w16cid:durableId="1640762848">
    <w:abstractNumId w:val="3"/>
  </w:num>
  <w:num w:numId="7" w16cid:durableId="1710301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12"/>
    <w:rsid w:val="000255A9"/>
    <w:rsid w:val="00046330"/>
    <w:rsid w:val="00054694"/>
    <w:rsid w:val="00097187"/>
    <w:rsid w:val="00154B3A"/>
    <w:rsid w:val="001A3670"/>
    <w:rsid w:val="001C76CA"/>
    <w:rsid w:val="001D16CD"/>
    <w:rsid w:val="001D2A46"/>
    <w:rsid w:val="001E3227"/>
    <w:rsid w:val="002D0BF5"/>
    <w:rsid w:val="002E48B0"/>
    <w:rsid w:val="00306A6F"/>
    <w:rsid w:val="00372249"/>
    <w:rsid w:val="004A517F"/>
    <w:rsid w:val="0051503D"/>
    <w:rsid w:val="0060339F"/>
    <w:rsid w:val="006123C5"/>
    <w:rsid w:val="00632B13"/>
    <w:rsid w:val="0065476F"/>
    <w:rsid w:val="006565CB"/>
    <w:rsid w:val="006F7582"/>
    <w:rsid w:val="00785FB8"/>
    <w:rsid w:val="007C369F"/>
    <w:rsid w:val="0080752B"/>
    <w:rsid w:val="00886E99"/>
    <w:rsid w:val="00894D0C"/>
    <w:rsid w:val="008C75BC"/>
    <w:rsid w:val="00956C9D"/>
    <w:rsid w:val="00A20AC8"/>
    <w:rsid w:val="00A539F6"/>
    <w:rsid w:val="00A65FD9"/>
    <w:rsid w:val="00A67321"/>
    <w:rsid w:val="00AC1E29"/>
    <w:rsid w:val="00B1318D"/>
    <w:rsid w:val="00B26513"/>
    <w:rsid w:val="00B67AE9"/>
    <w:rsid w:val="00B9141C"/>
    <w:rsid w:val="00C350AC"/>
    <w:rsid w:val="00C41912"/>
    <w:rsid w:val="00C87629"/>
    <w:rsid w:val="00D23AAD"/>
    <w:rsid w:val="00D57156"/>
    <w:rsid w:val="00DB1AFC"/>
    <w:rsid w:val="00E061BD"/>
    <w:rsid w:val="00E5556C"/>
    <w:rsid w:val="00E752B2"/>
    <w:rsid w:val="00E937EC"/>
    <w:rsid w:val="00EB7D8E"/>
    <w:rsid w:val="00ED7F15"/>
    <w:rsid w:val="00EE0111"/>
    <w:rsid w:val="00FB6C4D"/>
    <w:rsid w:val="0794F285"/>
    <w:rsid w:val="6006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97446"/>
  <w15:chartTrackingRefBased/>
  <w15:docId w15:val="{558A19CF-E197-476B-838E-777B175C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912"/>
  </w:style>
  <w:style w:type="paragraph" w:styleId="Footer">
    <w:name w:val="footer"/>
    <w:basedOn w:val="Normal"/>
    <w:link w:val="FooterChar"/>
    <w:uiPriority w:val="99"/>
    <w:unhideWhenUsed/>
    <w:rsid w:val="00C41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912"/>
  </w:style>
  <w:style w:type="paragraph" w:styleId="ListParagraph">
    <w:name w:val="List Paragraph"/>
    <w:basedOn w:val="Normal"/>
    <w:uiPriority w:val="34"/>
    <w:qFormat/>
    <w:rsid w:val="00C419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7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3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76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eea2b8-7b6b-4320-a2d4-c4f1f8632c99">
      <Terms xmlns="http://schemas.microsoft.com/office/infopath/2007/PartnerControls"/>
    </lcf76f155ced4ddcb4097134ff3c332f>
    <TaxCatchAll xmlns="2c895cb1-cc58-483e-86ff-96e45a974e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1EE74BA868B48B2675960B23E3BF5" ma:contentTypeVersion="12" ma:contentTypeDescription="Create a new document." ma:contentTypeScope="" ma:versionID="3f6c9f54c6a1746a67514278972cfb93">
  <xsd:schema xmlns:xsd="http://www.w3.org/2001/XMLSchema" xmlns:xs="http://www.w3.org/2001/XMLSchema" xmlns:p="http://schemas.microsoft.com/office/2006/metadata/properties" xmlns:ns2="88eea2b8-7b6b-4320-a2d4-c4f1f8632c99" xmlns:ns3="2c895cb1-cc58-483e-86ff-96e45a974e3b" targetNamespace="http://schemas.microsoft.com/office/2006/metadata/properties" ma:root="true" ma:fieldsID="82390be5e49db8f1e8d848bd67f76182" ns2:_="" ns3:_="">
    <xsd:import namespace="88eea2b8-7b6b-4320-a2d4-c4f1f8632c99"/>
    <xsd:import namespace="2c895cb1-cc58-483e-86ff-96e45a974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a2b8-7b6b-4320-a2d4-c4f1f8632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6f7b00-301e-4c89-b186-a05e1e58f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95cb1-cc58-483e-86ff-96e45a974e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51308d8-55fe-4a89-a2db-d13907434f68}" ma:internalName="TaxCatchAll" ma:showField="CatchAllData" ma:web="2c895cb1-cc58-483e-86ff-96e45a974e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49ECE-4DD6-4296-A95C-D27881CB7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B8806-A1E6-437F-A36C-C37DB98E3D96}">
  <ds:schemaRefs>
    <ds:schemaRef ds:uri="http://schemas.microsoft.com/office/2006/documentManagement/types"/>
    <ds:schemaRef ds:uri="http://schemas.microsoft.com/office/2006/metadata/properties"/>
    <ds:schemaRef ds:uri="88eea2b8-7b6b-4320-a2d4-c4f1f8632c9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c895cb1-cc58-483e-86ff-96e45a974e3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F3EBFD8-CE75-42FF-B76C-885F7D8A1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a2b8-7b6b-4320-a2d4-c4f1f8632c99"/>
    <ds:schemaRef ds:uri="2c895cb1-cc58-483e-86ff-96e45a974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d8d5eb8-2d34-4728-91b4-c69a1e01a91b}" enabled="1" method="Privileged" siteId="{4b4cca9c-edaf-42f3-8e21-9070c5d9d7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Yamagata</dc:creator>
  <cp:keywords/>
  <dc:description/>
  <cp:lastModifiedBy>Susan Woodlands</cp:lastModifiedBy>
  <cp:revision>2</cp:revision>
  <dcterms:created xsi:type="dcterms:W3CDTF">2023-05-25T16:46:00Z</dcterms:created>
  <dcterms:modified xsi:type="dcterms:W3CDTF">2023-05-25T16:46:00Z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8d5eb8-2d34-4728-91b4-c69a1e01a91b_Enabled">
    <vt:lpwstr>true</vt:lpwstr>
  </property>
  <property fmtid="{D5CDD505-2E9C-101B-9397-08002B2CF9AE}" pid="3" name="MSIP_Label_9d8d5eb8-2d34-4728-91b4-c69a1e01a91b_SetDate">
    <vt:lpwstr>2023-05-01T13:01:54Z</vt:lpwstr>
  </property>
  <property fmtid="{D5CDD505-2E9C-101B-9397-08002B2CF9AE}" pid="4" name="MSIP_Label_9d8d5eb8-2d34-4728-91b4-c69a1e01a91b_Method">
    <vt:lpwstr>Privileged</vt:lpwstr>
  </property>
  <property fmtid="{D5CDD505-2E9C-101B-9397-08002B2CF9AE}" pid="5" name="MSIP_Label_9d8d5eb8-2d34-4728-91b4-c69a1e01a91b_Name">
    <vt:lpwstr>C1 Public Content</vt:lpwstr>
  </property>
  <property fmtid="{D5CDD505-2E9C-101B-9397-08002B2CF9AE}" pid="6" name="MSIP_Label_9d8d5eb8-2d34-4728-91b4-c69a1e01a91b_SiteId">
    <vt:lpwstr>4b4cca9c-edaf-42f3-8e21-9070c5d9d76b</vt:lpwstr>
  </property>
  <property fmtid="{D5CDD505-2E9C-101B-9397-08002B2CF9AE}" pid="7" name="MSIP_Label_9d8d5eb8-2d34-4728-91b4-c69a1e01a91b_ActionId">
    <vt:lpwstr>64642437-5577-46e8-a8a2-02d88955c349</vt:lpwstr>
  </property>
  <property fmtid="{D5CDD505-2E9C-101B-9397-08002B2CF9AE}" pid="8" name="MSIP_Label_9d8d5eb8-2d34-4728-91b4-c69a1e01a91b_ContentBits">
    <vt:lpwstr>0</vt:lpwstr>
  </property>
  <property fmtid="{D5CDD505-2E9C-101B-9397-08002B2CF9AE}" pid="9" name="ContentTypeId">
    <vt:lpwstr>0x0101006751EE74BA868B48B2675960B23E3BF5</vt:lpwstr>
  </property>
  <property fmtid="{D5CDD505-2E9C-101B-9397-08002B2CF9AE}" pid="10" name="MediaServiceImageTags">
    <vt:lpwstr/>
  </property>
</Properties>
</file>